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DC9" w:rsidRPr="00133A15" w:rsidRDefault="00CE2DC9" w:rsidP="00133A15">
      <w:pPr>
        <w:jc w:val="center"/>
        <w:rPr>
          <w:rFonts w:ascii="Garamond" w:hAnsi="Garamond" w:cs="Times New Roman"/>
          <w:i/>
        </w:rPr>
      </w:pPr>
      <w:r w:rsidRPr="00133A15">
        <w:rPr>
          <w:rFonts w:ascii="Garamond" w:hAnsi="Garamond" w:cs="Times New Roman"/>
          <w:i/>
        </w:rPr>
        <w:t>Guidelines for Courses in Historical Analysis: Courses should address these attributes of historical thinking:</w:t>
      </w:r>
    </w:p>
    <w:p w:rsidR="00CE2DC9" w:rsidRPr="00133A15" w:rsidRDefault="00CE2DC9" w:rsidP="006C6EE5">
      <w:pPr>
        <w:pStyle w:val="ListParagraph"/>
        <w:numPr>
          <w:ilvl w:val="0"/>
          <w:numId w:val="1"/>
        </w:numPr>
        <w:spacing w:line="240" w:lineRule="auto"/>
        <w:rPr>
          <w:rFonts w:cs="Times New Roman"/>
          <w:b/>
          <w:sz w:val="22"/>
          <w:szCs w:val="22"/>
        </w:rPr>
      </w:pPr>
      <w:r w:rsidRPr="00133A15">
        <w:rPr>
          <w:rFonts w:cs="Times New Roman"/>
          <w:sz w:val="22"/>
          <w:szCs w:val="22"/>
        </w:rPr>
        <w:t xml:space="preserve">Provide a sense of the past by providing a historical context for understanding that people in the past thought and lived in ways very different from our </w:t>
      </w:r>
      <w:proofErr w:type="gramStart"/>
      <w:r w:rsidRPr="00133A15">
        <w:rPr>
          <w:rFonts w:cs="Times New Roman"/>
          <w:sz w:val="22"/>
          <w:szCs w:val="22"/>
        </w:rPr>
        <w:t>own,</w:t>
      </w:r>
      <w:proofErr w:type="gramEnd"/>
      <w:r w:rsidRPr="00133A15">
        <w:rPr>
          <w:rFonts w:cs="Times New Roman"/>
          <w:sz w:val="22"/>
          <w:szCs w:val="22"/>
        </w:rPr>
        <w:t xml:space="preserve"> what historians can call </w:t>
      </w:r>
      <w:r w:rsidRPr="00133A15">
        <w:rPr>
          <w:rFonts w:cs="Times New Roman"/>
          <w:b/>
          <w:sz w:val="22"/>
          <w:szCs w:val="22"/>
        </w:rPr>
        <w:t xml:space="preserve">the pastness of the past.  </w:t>
      </w:r>
      <w:r w:rsidRPr="00133A15">
        <w:rPr>
          <w:rFonts w:cs="Times New Roman"/>
          <w:sz w:val="22"/>
          <w:szCs w:val="22"/>
        </w:rPr>
        <w:t>(Axis A)</w:t>
      </w:r>
    </w:p>
    <w:p w:rsidR="00CE2DC9" w:rsidRPr="00133A15" w:rsidRDefault="00CE2DC9" w:rsidP="006C6EE5">
      <w:pPr>
        <w:pStyle w:val="ListParagraph"/>
        <w:numPr>
          <w:ilvl w:val="0"/>
          <w:numId w:val="1"/>
        </w:numPr>
        <w:spacing w:line="240" w:lineRule="auto"/>
        <w:rPr>
          <w:rFonts w:cs="Times New Roman"/>
          <w:b/>
          <w:sz w:val="22"/>
          <w:szCs w:val="22"/>
        </w:rPr>
      </w:pPr>
      <w:r w:rsidRPr="00133A15">
        <w:rPr>
          <w:rFonts w:cs="Times New Roman"/>
          <w:sz w:val="22"/>
          <w:szCs w:val="22"/>
        </w:rPr>
        <w:t>Provide a sense of the past by providing a historical context for understanding the contemporary world, what historians can call</w:t>
      </w:r>
      <w:r w:rsidRPr="00133A15">
        <w:rPr>
          <w:rFonts w:cs="Times New Roman"/>
          <w:b/>
          <w:sz w:val="22"/>
          <w:szCs w:val="22"/>
        </w:rPr>
        <w:t xml:space="preserve"> the presentness of the past. </w:t>
      </w:r>
      <w:r w:rsidRPr="00133A15">
        <w:rPr>
          <w:rFonts w:cs="Times New Roman"/>
          <w:sz w:val="22"/>
          <w:szCs w:val="22"/>
        </w:rPr>
        <w:t>(Axis A)</w:t>
      </w:r>
    </w:p>
    <w:p w:rsidR="00CE2DC9" w:rsidRPr="00133A15" w:rsidRDefault="00B41274" w:rsidP="006C6EE5">
      <w:pPr>
        <w:pStyle w:val="ListParagraph"/>
        <w:numPr>
          <w:ilvl w:val="0"/>
          <w:numId w:val="1"/>
        </w:numPr>
        <w:spacing w:line="240" w:lineRule="auto"/>
        <w:rPr>
          <w:rFonts w:cs="Times New Roman"/>
          <w:sz w:val="22"/>
          <w:szCs w:val="22"/>
        </w:rPr>
      </w:pPr>
      <w:r w:rsidRPr="00133A15">
        <w:rPr>
          <w:rFonts w:cs="Times New Roman"/>
          <w:sz w:val="22"/>
          <w:szCs w:val="22"/>
        </w:rPr>
        <w:t>H</w:t>
      </w:r>
      <w:r w:rsidR="00CE2DC9" w:rsidRPr="00133A15">
        <w:rPr>
          <w:rFonts w:cs="Times New Roman"/>
          <w:sz w:val="22"/>
          <w:szCs w:val="22"/>
        </w:rPr>
        <w:t xml:space="preserve">istorians </w:t>
      </w:r>
      <w:r w:rsidR="00CE2DC9" w:rsidRPr="00133A15">
        <w:rPr>
          <w:rFonts w:cs="Times New Roman"/>
          <w:bCs/>
          <w:sz w:val="22"/>
          <w:szCs w:val="22"/>
        </w:rPr>
        <w:t xml:space="preserve">give meaning to facts through the critical analysis and interpretation of the evidence of primary and secondary sources. (Axis </w:t>
      </w:r>
      <w:r w:rsidR="009B5C59" w:rsidRPr="00133A15">
        <w:rPr>
          <w:rFonts w:cs="Times New Roman"/>
          <w:bCs/>
          <w:sz w:val="22"/>
          <w:szCs w:val="22"/>
        </w:rPr>
        <w:t>B</w:t>
      </w:r>
      <w:r w:rsidR="00CE2DC9" w:rsidRPr="00133A15">
        <w:rPr>
          <w:rFonts w:cs="Times New Roman"/>
          <w:bCs/>
          <w:sz w:val="22"/>
          <w:szCs w:val="22"/>
        </w:rPr>
        <w:t>)</w:t>
      </w:r>
    </w:p>
    <w:p w:rsidR="00CE2DC9" w:rsidRPr="00133A15" w:rsidRDefault="00B41274" w:rsidP="006C6EE5">
      <w:pPr>
        <w:pStyle w:val="ListParagraph"/>
        <w:numPr>
          <w:ilvl w:val="0"/>
          <w:numId w:val="1"/>
        </w:numPr>
        <w:spacing w:line="240" w:lineRule="auto"/>
        <w:rPr>
          <w:rFonts w:cs="Times New Roman"/>
          <w:sz w:val="22"/>
          <w:szCs w:val="22"/>
        </w:rPr>
      </w:pPr>
      <w:r w:rsidRPr="00133A15">
        <w:rPr>
          <w:rFonts w:cs="Times New Roman"/>
          <w:sz w:val="22"/>
          <w:szCs w:val="22"/>
        </w:rPr>
        <w:t>H</w:t>
      </w:r>
      <w:r w:rsidR="00CE2DC9" w:rsidRPr="00133A15">
        <w:rPr>
          <w:rFonts w:cs="Times New Roman"/>
          <w:sz w:val="22"/>
          <w:szCs w:val="22"/>
        </w:rPr>
        <w:t xml:space="preserve">istory (i.e., historical interpretation) is </w:t>
      </w:r>
      <w:r w:rsidR="00CE2DC9" w:rsidRPr="00133A15">
        <w:rPr>
          <w:rFonts w:cs="Times New Roman"/>
          <w:bCs/>
          <w:sz w:val="22"/>
          <w:szCs w:val="22"/>
        </w:rPr>
        <w:t xml:space="preserve">constructed and often contested.  (Axis </w:t>
      </w:r>
      <w:r w:rsidR="009B5C59" w:rsidRPr="00133A15">
        <w:rPr>
          <w:rFonts w:cs="Times New Roman"/>
          <w:bCs/>
          <w:sz w:val="22"/>
          <w:szCs w:val="22"/>
        </w:rPr>
        <w:t>B</w:t>
      </w:r>
      <w:r w:rsidR="00CE2DC9" w:rsidRPr="00133A15">
        <w:rPr>
          <w:rFonts w:cs="Times New Roman"/>
          <w:bCs/>
          <w:sz w:val="22"/>
          <w:szCs w:val="22"/>
        </w:rPr>
        <w:t>)</w:t>
      </w:r>
    </w:p>
    <w:p w:rsidR="00CE2DC9" w:rsidRPr="00133A15" w:rsidRDefault="00B41274" w:rsidP="006C6EE5">
      <w:pPr>
        <w:pStyle w:val="ListParagraph"/>
        <w:numPr>
          <w:ilvl w:val="0"/>
          <w:numId w:val="1"/>
        </w:numPr>
        <w:spacing w:line="240" w:lineRule="auto"/>
        <w:rPr>
          <w:rFonts w:cs="Times New Roman"/>
          <w:sz w:val="22"/>
          <w:szCs w:val="22"/>
        </w:rPr>
      </w:pPr>
      <w:r w:rsidRPr="00133A15">
        <w:rPr>
          <w:rFonts w:cs="Times New Roman"/>
          <w:sz w:val="22"/>
          <w:szCs w:val="22"/>
        </w:rPr>
        <w:t>H</w:t>
      </w:r>
      <w:r w:rsidR="00CE2DC9" w:rsidRPr="00133A15">
        <w:rPr>
          <w:rFonts w:cs="Times New Roman"/>
          <w:sz w:val="22"/>
          <w:szCs w:val="22"/>
        </w:rPr>
        <w:t>istorical causation is complex and includes contingency, with its emphasis on human agency, and determinism, with its emphasis on external forces. (Axis C)</w:t>
      </w:r>
    </w:p>
    <w:p w:rsidR="00133A15" w:rsidRDefault="00133A15" w:rsidP="006C6EE5">
      <w:pPr>
        <w:pStyle w:val="ListParagraph"/>
        <w:numPr>
          <w:ilvl w:val="0"/>
          <w:numId w:val="1"/>
        </w:numPr>
        <w:spacing w:line="240" w:lineRule="auto"/>
        <w:rPr>
          <w:rFonts w:cs="Times New Roman"/>
          <w:sz w:val="22"/>
          <w:szCs w:val="22"/>
        </w:rPr>
      </w:pPr>
      <w:r w:rsidRPr="00133A15">
        <w:rPr>
          <w:rFonts w:cs="Times New Roman"/>
          <w:sz w:val="22"/>
          <w:szCs w:val="22"/>
        </w:rPr>
        <w:t>“Objective history in the last analysis is history that is researched and written within the limits placed on the historical imagination by the facts of history and the sources which reveal them, and bound by the historian’s desire to produce a true, fair, and adequate account of the subject under consideration.</w:t>
      </w:r>
      <w:r>
        <w:rPr>
          <w:rFonts w:cs="Times New Roman"/>
          <w:sz w:val="22"/>
          <w:szCs w:val="22"/>
        </w:rPr>
        <w:t>”</w:t>
      </w:r>
      <w:r w:rsidRPr="00133A15">
        <w:rPr>
          <w:rStyle w:val="FootnoteReference"/>
          <w:rFonts w:cs="Times New Roman"/>
          <w:sz w:val="22"/>
          <w:szCs w:val="22"/>
        </w:rPr>
        <w:footnoteReference w:id="1"/>
      </w:r>
      <w:r w:rsidRPr="00133A15">
        <w:rPr>
          <w:rFonts w:cs="Times New Roman"/>
          <w:sz w:val="22"/>
          <w:szCs w:val="22"/>
        </w:rPr>
        <w:t xml:space="preserve"> </w:t>
      </w:r>
    </w:p>
    <w:p w:rsidR="006C6EE5" w:rsidRDefault="006C6EE5" w:rsidP="006C6EE5">
      <w:pPr>
        <w:spacing w:line="240" w:lineRule="auto"/>
      </w:pPr>
    </w:p>
    <w:p w:rsidR="006C6EE5" w:rsidRPr="006C6EE5" w:rsidRDefault="006C6EE5" w:rsidP="006C6EE5">
      <w:pPr>
        <w:spacing w:line="240" w:lineRule="auto"/>
        <w:rPr>
          <w:sz w:val="22"/>
          <w:szCs w:val="22"/>
        </w:rPr>
      </w:pPr>
      <w:r w:rsidRPr="006C6EE5">
        <w:rPr>
          <w:sz w:val="22"/>
          <w:szCs w:val="22"/>
        </w:rPr>
        <w:t>General observations: Students like a narrative text as security to fill in the gaps of topics the instructor chooses not to include. A trade book or monograph allows students to appreciate historical analysis on an extended basis. The use of primary sources is imperative, whether excerpts often included in narrative texts, or as a separate reader.</w:t>
      </w:r>
    </w:p>
    <w:p w:rsidR="00E921D1" w:rsidRDefault="00DA213C">
      <w:r>
        <w:rPr>
          <w:noProof/>
        </w:rPr>
        <w:pict>
          <v:shapetype id="_x0000_t202" coordsize="21600,21600" o:spt="202" path="m,l,21600r21600,l21600,xe">
            <v:stroke joinstyle="miter"/>
            <v:path gradientshapeok="t" o:connecttype="rect"/>
          </v:shapetype>
          <v:shape id="_x0000_s1027" type="#_x0000_t202" style="position:absolute;margin-left:155.1pt;margin-top:13.5pt;width:81.85pt;height:28.65pt;z-index:251659264;mso-height-percent:200;mso-height-percent:200;mso-width-relative:margin;mso-height-relative:margin">
            <v:textbox style="mso-next-textbox:#_x0000_s1027;mso-fit-shape-to-text:t">
              <w:txbxContent>
                <w:p w:rsidR="00CE2DC9" w:rsidRDefault="00CE2DC9" w:rsidP="00CE2DC9">
                  <w:r>
                    <w:t>Contingency</w:t>
                  </w:r>
                </w:p>
              </w:txbxContent>
            </v:textbox>
          </v:shape>
        </w:pict>
      </w:r>
    </w:p>
    <w:p w:rsidR="00CE2DC9" w:rsidRDefault="00CE2DC9"/>
    <w:p w:rsidR="00CE2DC9" w:rsidRDefault="00DA213C">
      <w:r>
        <w:rPr>
          <w:noProof/>
        </w:rPr>
        <w:pict>
          <v:shape id="_x0000_s1032" type="#_x0000_t202" style="position:absolute;margin-left:306.75pt;margin-top:2.9pt;width:145.6pt;height:28.65pt;z-index:251664384;mso-height-percent:200;mso-height-percent:200;mso-width-relative:margin;mso-height-relative:margin">
            <v:textbox style="mso-fit-shape-to-text:t">
              <w:txbxContent>
                <w:p w:rsidR="00CE2DC9" w:rsidRDefault="00CE2DC9" w:rsidP="00CE2DC9">
                  <w:r>
                    <w:t>Constructed interpretations</w:t>
                  </w:r>
                </w:p>
              </w:txbxContent>
            </v:textbox>
          </v:shape>
        </w:pict>
      </w:r>
      <w:r>
        <w:rPr>
          <w:noProof/>
        </w:rPr>
        <w:pict>
          <v:shape id="_x0000_s1037" type="#_x0000_t202" style="position:absolute;margin-left:-20.45pt;margin-top:10.4pt;width:113.45pt;height:21.15pt;z-index:251669504;mso-width-relative:margin;mso-height-relative:margin">
            <v:textbox>
              <w:txbxContent>
                <w:p w:rsidR="00CE2DC9" w:rsidRDefault="00CE2DC9" w:rsidP="00CE2DC9">
                  <w:r>
                    <w:t>Pastness of the past</w:t>
                  </w:r>
                </w:p>
                <w:p w:rsidR="00CE2DC9" w:rsidRDefault="00CE2DC9" w:rsidP="00CE2DC9"/>
              </w:txbxContent>
            </v:textbox>
          </v:shape>
        </w:pict>
      </w:r>
      <w:r>
        <w:rPr>
          <w:noProof/>
        </w:rPr>
        <w:pict>
          <v:shapetype id="_x0000_t32" coordsize="21600,21600" o:spt="32" o:oned="t" path="m,l21600,21600e" filled="f">
            <v:path arrowok="t" fillok="f" o:connecttype="none"/>
            <o:lock v:ext="edit" shapetype="t"/>
          </v:shapetype>
          <v:shape id="_x0000_s1026" type="#_x0000_t32" style="position:absolute;margin-left:198.75pt;margin-top:.8pt;width:0;height:206.25pt;z-index:251658240" o:connectortype="straight">
            <v:stroke startarrow="block" endarrow="block"/>
          </v:shape>
        </w:pict>
      </w:r>
    </w:p>
    <w:p w:rsidR="00CE2DC9" w:rsidRDefault="00DA213C">
      <w:r>
        <w:rPr>
          <w:noProof/>
        </w:rPr>
        <w:pict>
          <v:shape id="_x0000_s1028" type="#_x0000_t32" style="position:absolute;margin-left:98.25pt;margin-top:7.45pt;width:198pt;height:139.35pt;z-index:251660288" o:connectortype="straight">
            <v:stroke startarrow="block" endarrow="block"/>
          </v:shape>
        </w:pict>
      </w:r>
      <w:r>
        <w:rPr>
          <w:noProof/>
        </w:rPr>
        <w:pict>
          <v:shape id="_x0000_s1029" type="#_x0000_t32" style="position:absolute;margin-left:103.5pt;margin-top:17.6pt;width:197.25pt;height:123pt;flip:x;z-index:251661312" o:connectortype="straight">
            <v:stroke startarrow="block" endarrow="block"/>
          </v:shape>
        </w:pict>
      </w:r>
    </w:p>
    <w:p w:rsidR="00CE2DC9" w:rsidRDefault="00DA213C">
      <w:r>
        <w:rPr>
          <w:noProof/>
        </w:rPr>
        <w:pict>
          <v:shape id="_x0000_s1030" type="#_x0000_t202" style="position:absolute;margin-left:116.45pt;margin-top:19.85pt;width:52.6pt;height:28.65pt;z-index:251662336;mso-height-percent:200;mso-height-percent:200;mso-width-relative:margin;mso-height-relative:margin">
            <v:textbox style="mso-fit-shape-to-text:t">
              <w:txbxContent>
                <w:p w:rsidR="00CE2DC9" w:rsidRPr="00DF7213" w:rsidRDefault="00CE2DC9" w:rsidP="00CE2DC9">
                  <w:pPr>
                    <w:rPr>
                      <w:caps/>
                    </w:rPr>
                  </w:pPr>
                  <w:r>
                    <w:t xml:space="preserve">Axis </w:t>
                  </w:r>
                  <w:r>
                    <w:rPr>
                      <w:caps/>
                    </w:rPr>
                    <w:t>A</w:t>
                  </w:r>
                </w:p>
              </w:txbxContent>
            </v:textbox>
          </v:shape>
        </w:pict>
      </w:r>
      <w:r>
        <w:rPr>
          <w:noProof/>
        </w:rPr>
        <w:pict>
          <v:shape id="_x0000_s1034" type="#_x0000_t202" style="position:absolute;margin-left:238.6pt;margin-top:17.15pt;width:49.6pt;height:28.65pt;z-index:251666432;mso-height-percent:200;mso-height-percent:200;mso-width-relative:margin;mso-height-relative:margin">
            <v:textbox style="mso-next-textbox:#_x0000_s1034;mso-fit-shape-to-text:t">
              <w:txbxContent>
                <w:p w:rsidR="00CE2DC9" w:rsidRDefault="00CE2DC9" w:rsidP="00CE2DC9">
                  <w:r>
                    <w:t>Axis B</w:t>
                  </w:r>
                </w:p>
              </w:txbxContent>
            </v:textbox>
          </v:shape>
        </w:pict>
      </w:r>
    </w:p>
    <w:p w:rsidR="00CE2DC9" w:rsidRDefault="00CE2DC9"/>
    <w:p w:rsidR="00CE2DC9" w:rsidRDefault="00CE2DC9"/>
    <w:p w:rsidR="00CE2DC9" w:rsidRDefault="00CE2DC9"/>
    <w:p w:rsidR="00CE2DC9" w:rsidRDefault="00DA213C">
      <w:r>
        <w:rPr>
          <w:noProof/>
        </w:rPr>
        <w:pict>
          <v:shape id="_x0000_s1031" type="#_x0000_t202" style="position:absolute;margin-left:173.7pt;margin-top:13.7pt;width:49.05pt;height:28.65pt;z-index:251663360;mso-height-percent:200;mso-height-percent:200;mso-width-relative:margin;mso-height-relative:margin">
            <v:textbox style="mso-fit-shape-to-text:t">
              <w:txbxContent>
                <w:p w:rsidR="00CE2DC9" w:rsidRDefault="00CE2DC9" w:rsidP="00CE2DC9">
                  <w:r>
                    <w:t>Axis C</w:t>
                  </w:r>
                </w:p>
              </w:txbxContent>
            </v:textbox>
          </v:shape>
        </w:pict>
      </w:r>
    </w:p>
    <w:p w:rsidR="00CE2DC9" w:rsidRDefault="00CE2DC9"/>
    <w:p w:rsidR="00CE2DC9" w:rsidRDefault="00DA213C">
      <w:r>
        <w:rPr>
          <w:noProof/>
        </w:rPr>
        <w:pict>
          <v:shape id="_x0000_s1036" type="#_x0000_t202" style="position:absolute;margin-left:-3.1pt;margin-top:1.9pt;width:101.35pt;height:28.65pt;z-index:251668480;mso-height-percent:200;mso-height-percent:200;mso-width-relative:margin;mso-height-relative:margin">
            <v:textbox style="mso-fit-shape-to-text:t">
              <w:txbxContent>
                <w:p w:rsidR="00CE2DC9" w:rsidRDefault="00CE2DC9" w:rsidP="00CE2DC9">
                  <w:r>
                    <w:t>Factual Evidence</w:t>
                  </w:r>
                </w:p>
              </w:txbxContent>
            </v:textbox>
          </v:shape>
        </w:pict>
      </w:r>
      <w:r>
        <w:rPr>
          <w:noProof/>
        </w:rPr>
        <w:pict>
          <v:shape id="_x0000_s1033" type="#_x0000_t202" style="position:absolute;margin-left:306.75pt;margin-top:1.5pt;width:129.75pt;height:28.05pt;z-index:251665408">
            <v:textbox style="mso-next-textbox:#_x0000_s1033">
              <w:txbxContent>
                <w:p w:rsidR="00CE2DC9" w:rsidRDefault="00CE2DC9" w:rsidP="00CE2DC9">
                  <w:r>
                    <w:t>Presentness of the past</w:t>
                  </w:r>
                </w:p>
              </w:txbxContent>
            </v:textbox>
          </v:shape>
        </w:pict>
      </w:r>
    </w:p>
    <w:p w:rsidR="00CE2DC9" w:rsidRDefault="00CE2DC9"/>
    <w:p w:rsidR="00CE2DC9" w:rsidRDefault="00DA213C">
      <w:r>
        <w:rPr>
          <w:noProof/>
        </w:rPr>
        <w:pict>
          <v:shape id="_x0000_s1035" type="#_x0000_t202" style="position:absolute;margin-left:159.45pt;margin-top:.05pt;width:78.1pt;height:28.65pt;z-index:251667456;mso-height-percent:200;mso-height-percent:200;mso-width-relative:margin;mso-height-relative:margin">
            <v:textbox style="mso-fit-shape-to-text:t">
              <w:txbxContent>
                <w:p w:rsidR="00CE2DC9" w:rsidRDefault="00CE2DC9" w:rsidP="00CE2DC9">
                  <w:r>
                    <w:t>Determinism</w:t>
                  </w:r>
                </w:p>
              </w:txbxContent>
            </v:textbox>
          </v:shape>
        </w:pict>
      </w:r>
    </w:p>
    <w:p w:rsidR="00133A15" w:rsidRDefault="00133A15" w:rsidP="00133A15">
      <w:pPr>
        <w:spacing w:line="240" w:lineRule="auto"/>
        <w:rPr>
          <w:sz w:val="20"/>
          <w:szCs w:val="20"/>
        </w:rPr>
      </w:pPr>
    </w:p>
    <w:p w:rsidR="006C6EE5" w:rsidRDefault="006C6EE5" w:rsidP="00133A15">
      <w:pPr>
        <w:spacing w:line="240" w:lineRule="auto"/>
        <w:rPr>
          <w:sz w:val="20"/>
          <w:szCs w:val="20"/>
        </w:rPr>
      </w:pPr>
    </w:p>
    <w:p w:rsidR="006C6EE5" w:rsidRDefault="006C6EE5" w:rsidP="00133A15">
      <w:pPr>
        <w:spacing w:line="240" w:lineRule="auto"/>
        <w:rPr>
          <w:sz w:val="20"/>
          <w:szCs w:val="20"/>
        </w:rPr>
      </w:pPr>
    </w:p>
    <w:p w:rsidR="00133A15" w:rsidRPr="00CE2DC9" w:rsidRDefault="00133A15" w:rsidP="00133A15">
      <w:pPr>
        <w:spacing w:line="240" w:lineRule="auto"/>
        <w:rPr>
          <w:i/>
          <w:sz w:val="20"/>
          <w:szCs w:val="20"/>
        </w:rPr>
      </w:pPr>
      <w:r w:rsidRPr="00CE2DC9">
        <w:rPr>
          <w:sz w:val="20"/>
          <w:szCs w:val="20"/>
        </w:rPr>
        <w:t xml:space="preserve">Source for graphic: Gary </w:t>
      </w:r>
      <w:proofErr w:type="spellStart"/>
      <w:r w:rsidRPr="00CE2DC9">
        <w:rPr>
          <w:sz w:val="20"/>
          <w:szCs w:val="20"/>
        </w:rPr>
        <w:t>Kornnlith</w:t>
      </w:r>
      <w:proofErr w:type="spellEnd"/>
      <w:r w:rsidRPr="00CE2DC9">
        <w:rPr>
          <w:sz w:val="20"/>
          <w:szCs w:val="20"/>
        </w:rPr>
        <w:t xml:space="preserve"> and Carol </w:t>
      </w:r>
      <w:proofErr w:type="spellStart"/>
      <w:r w:rsidRPr="00CE2DC9">
        <w:rPr>
          <w:sz w:val="20"/>
          <w:szCs w:val="20"/>
        </w:rPr>
        <w:t>Lasser</w:t>
      </w:r>
      <w:proofErr w:type="spellEnd"/>
      <w:r w:rsidRPr="00CE2DC9">
        <w:rPr>
          <w:sz w:val="20"/>
          <w:szCs w:val="20"/>
        </w:rPr>
        <w:t xml:space="preserve">, “Introduction: Reflections on Textbooks and Teaching” </w:t>
      </w:r>
      <w:proofErr w:type="gramStart"/>
      <w:r w:rsidRPr="00CE2DC9">
        <w:rPr>
          <w:sz w:val="20"/>
          <w:szCs w:val="20"/>
        </w:rPr>
        <w:t xml:space="preserve">in  </w:t>
      </w:r>
      <w:r w:rsidRPr="00CE2DC9">
        <w:rPr>
          <w:i/>
          <w:sz w:val="20"/>
          <w:szCs w:val="20"/>
        </w:rPr>
        <w:t>Teaching</w:t>
      </w:r>
      <w:proofErr w:type="gramEnd"/>
      <w:r w:rsidRPr="00CE2DC9">
        <w:rPr>
          <w:i/>
          <w:sz w:val="20"/>
          <w:szCs w:val="20"/>
        </w:rPr>
        <w:t xml:space="preserve"> American History: Essays Adapted from the Journal of American History, 2001-2007 </w:t>
      </w:r>
      <w:r w:rsidRPr="00CE2DC9">
        <w:rPr>
          <w:sz w:val="20"/>
          <w:szCs w:val="20"/>
        </w:rPr>
        <w:t xml:space="preserve">(Bedford/St. Martin’s, 2009), </w:t>
      </w:r>
      <w:r>
        <w:rPr>
          <w:sz w:val="20"/>
          <w:szCs w:val="20"/>
        </w:rPr>
        <w:t xml:space="preserve"> </w:t>
      </w:r>
      <w:r w:rsidRPr="00CE2DC9">
        <w:rPr>
          <w:sz w:val="20"/>
          <w:szCs w:val="20"/>
        </w:rPr>
        <w:t>pp. 1-4.</w:t>
      </w:r>
    </w:p>
    <w:sectPr w:rsidR="00133A15" w:rsidRPr="00CE2DC9" w:rsidSect="009D6C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41C" w:rsidRDefault="0029241C" w:rsidP="00133A15">
      <w:pPr>
        <w:spacing w:line="240" w:lineRule="auto"/>
      </w:pPr>
      <w:r>
        <w:separator/>
      </w:r>
    </w:p>
  </w:endnote>
  <w:endnote w:type="continuationSeparator" w:id="0">
    <w:p w:rsidR="0029241C" w:rsidRDefault="0029241C" w:rsidP="00133A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41C" w:rsidRDefault="0029241C" w:rsidP="00133A15">
      <w:pPr>
        <w:spacing w:line="240" w:lineRule="auto"/>
      </w:pPr>
      <w:r>
        <w:separator/>
      </w:r>
    </w:p>
  </w:footnote>
  <w:footnote w:type="continuationSeparator" w:id="0">
    <w:p w:rsidR="0029241C" w:rsidRDefault="0029241C" w:rsidP="00133A15">
      <w:pPr>
        <w:spacing w:line="240" w:lineRule="auto"/>
      </w:pPr>
      <w:r>
        <w:continuationSeparator/>
      </w:r>
    </w:p>
  </w:footnote>
  <w:footnote w:id="1">
    <w:p w:rsidR="00133A15" w:rsidRPr="00133A15" w:rsidRDefault="00133A15">
      <w:pPr>
        <w:pStyle w:val="FootnoteText"/>
      </w:pPr>
      <w:r>
        <w:rPr>
          <w:rStyle w:val="FootnoteReference"/>
        </w:rPr>
        <w:footnoteRef/>
      </w:r>
      <w:r>
        <w:t xml:space="preserve"> Richard Evans, </w:t>
      </w:r>
      <w:r>
        <w:rPr>
          <w:i/>
        </w:rPr>
        <w:t>In Defense of History</w:t>
      </w:r>
      <w:r>
        <w:t xml:space="preserve"> (W.W. Norton &amp; Company, 1999)</w:t>
      </w:r>
      <w:r w:rsidR="00C938D5">
        <w:t xml:space="preserve">, </w:t>
      </w:r>
      <w:r>
        <w:t>p. 220.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41F49"/>
    <w:multiLevelType w:val="hybridMultilevel"/>
    <w:tmpl w:val="ECC6E64C"/>
    <w:lvl w:ilvl="0" w:tplc="B6427A40">
      <w:start w:val="1"/>
      <w:numFmt w:val="decimal"/>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E2DC9"/>
    <w:rsid w:val="000E5A81"/>
    <w:rsid w:val="00114CC1"/>
    <w:rsid w:val="00133A15"/>
    <w:rsid w:val="0029241C"/>
    <w:rsid w:val="00343C89"/>
    <w:rsid w:val="0041492E"/>
    <w:rsid w:val="004628F3"/>
    <w:rsid w:val="005032D1"/>
    <w:rsid w:val="005B056F"/>
    <w:rsid w:val="00662108"/>
    <w:rsid w:val="006C6EE5"/>
    <w:rsid w:val="00824B27"/>
    <w:rsid w:val="00964DC7"/>
    <w:rsid w:val="009B5C59"/>
    <w:rsid w:val="009C69F6"/>
    <w:rsid w:val="009D6C29"/>
    <w:rsid w:val="00B41274"/>
    <w:rsid w:val="00C55CA5"/>
    <w:rsid w:val="00C938D5"/>
    <w:rsid w:val="00CE2DC9"/>
    <w:rsid w:val="00D04945"/>
    <w:rsid w:val="00D770DB"/>
    <w:rsid w:val="00DA213C"/>
    <w:rsid w:val="00DA2556"/>
    <w:rsid w:val="00E921D1"/>
    <w:rsid w:val="00F16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8"/>
        <o:r id="V:Rule5" type="connector" idref="#_x0000_s1026"/>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DC9"/>
    <w:pPr>
      <w:ind w:left="720"/>
      <w:contextualSpacing/>
    </w:pPr>
  </w:style>
  <w:style w:type="paragraph" w:styleId="BalloonText">
    <w:name w:val="Balloon Text"/>
    <w:basedOn w:val="Normal"/>
    <w:link w:val="BalloonTextChar"/>
    <w:uiPriority w:val="99"/>
    <w:semiHidden/>
    <w:unhideWhenUsed/>
    <w:rsid w:val="00CE2D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DC9"/>
    <w:rPr>
      <w:rFonts w:ascii="Tahoma" w:hAnsi="Tahoma" w:cs="Tahoma"/>
      <w:sz w:val="16"/>
      <w:szCs w:val="16"/>
    </w:rPr>
  </w:style>
  <w:style w:type="paragraph" w:styleId="FootnoteText">
    <w:name w:val="footnote text"/>
    <w:basedOn w:val="Normal"/>
    <w:link w:val="FootnoteTextChar"/>
    <w:uiPriority w:val="99"/>
    <w:semiHidden/>
    <w:unhideWhenUsed/>
    <w:rsid w:val="00133A15"/>
    <w:pPr>
      <w:spacing w:line="240" w:lineRule="auto"/>
    </w:pPr>
    <w:rPr>
      <w:sz w:val="20"/>
      <w:szCs w:val="20"/>
    </w:rPr>
  </w:style>
  <w:style w:type="character" w:customStyle="1" w:styleId="FootnoteTextChar">
    <w:name w:val="Footnote Text Char"/>
    <w:basedOn w:val="DefaultParagraphFont"/>
    <w:link w:val="FootnoteText"/>
    <w:uiPriority w:val="99"/>
    <w:semiHidden/>
    <w:rsid w:val="00133A15"/>
    <w:rPr>
      <w:sz w:val="20"/>
      <w:szCs w:val="20"/>
    </w:rPr>
  </w:style>
  <w:style w:type="character" w:styleId="FootnoteReference">
    <w:name w:val="footnote reference"/>
    <w:basedOn w:val="DefaultParagraphFont"/>
    <w:uiPriority w:val="99"/>
    <w:semiHidden/>
    <w:unhideWhenUsed/>
    <w:rsid w:val="00133A1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39972EF-3C42-4A8F-BA21-61E68FA4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1551</Characters>
  <Application>Microsoft Office Word</Application>
  <DocSecurity>0</DocSecurity>
  <Lines>12</Lines>
  <Paragraphs>3</Paragraphs>
  <ScaleCrop>false</ScaleCrop>
  <Company>University</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mjsmuksta</dc:creator>
  <cp:lastModifiedBy>mjsmuksta</cp:lastModifiedBy>
  <cp:revision>2</cp:revision>
  <dcterms:created xsi:type="dcterms:W3CDTF">2011-05-09T19:10:00Z</dcterms:created>
  <dcterms:modified xsi:type="dcterms:W3CDTF">2011-05-09T19:10:00Z</dcterms:modified>
</cp:coreProperties>
</file>