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7820" w:type="dxa"/>
        <w:tblInd w:w="-185" w:type="dxa"/>
        <w:tblLayout w:type="fixed"/>
        <w:tblLook w:val="04A0" w:firstRow="1" w:lastRow="0" w:firstColumn="1" w:lastColumn="0" w:noHBand="0" w:noVBand="1"/>
      </w:tblPr>
      <w:tblGrid>
        <w:gridCol w:w="648"/>
        <w:gridCol w:w="3492"/>
        <w:gridCol w:w="3510"/>
        <w:gridCol w:w="3420"/>
        <w:gridCol w:w="3330"/>
        <w:gridCol w:w="3420"/>
      </w:tblGrid>
      <w:tr w:rsidR="00730F05" w:rsidTr="00730F05">
        <w:trPr>
          <w:trHeight w:val="543"/>
        </w:trPr>
        <w:tc>
          <w:tcPr>
            <w:tcW w:w="648" w:type="dxa"/>
            <w:vAlign w:val="center"/>
          </w:tcPr>
          <w:p w:rsidR="00730F05" w:rsidRDefault="00730F05" w:rsidP="00ED78C8">
            <w:pPr>
              <w:jc w:val="center"/>
              <w:rPr>
                <w:sz w:val="18"/>
              </w:rPr>
            </w:pPr>
            <w:r>
              <w:rPr>
                <w:sz w:val="18"/>
              </w:rPr>
              <w:t>SLO</w:t>
            </w:r>
          </w:p>
          <w:p w:rsidR="00730F05" w:rsidRDefault="00730F05" w:rsidP="00ED78C8">
            <w:pPr>
              <w:jc w:val="center"/>
            </w:pPr>
            <w:r>
              <w:rPr>
                <w:sz w:val="18"/>
              </w:rPr>
              <w:t>#</w:t>
            </w:r>
          </w:p>
        </w:tc>
        <w:tc>
          <w:tcPr>
            <w:tcW w:w="3492" w:type="dxa"/>
            <w:vAlign w:val="center"/>
          </w:tcPr>
          <w:p w:rsidR="00730F05" w:rsidRDefault="00487702" w:rsidP="00ED78C8">
            <w:pPr>
              <w:jc w:val="center"/>
            </w:pPr>
            <w:r>
              <w:t>Outcomes</w:t>
            </w:r>
          </w:p>
        </w:tc>
        <w:tc>
          <w:tcPr>
            <w:tcW w:w="3510" w:type="dxa"/>
            <w:vAlign w:val="center"/>
          </w:tcPr>
          <w:p w:rsidR="00730F05" w:rsidRDefault="009161AB" w:rsidP="00ED78C8">
            <w:pPr>
              <w:jc w:val="center"/>
            </w:pPr>
            <w:r>
              <w:t xml:space="preserve">4 - </w:t>
            </w:r>
            <w:r w:rsidR="00EA6B83">
              <w:t>Proficient</w:t>
            </w:r>
          </w:p>
        </w:tc>
        <w:tc>
          <w:tcPr>
            <w:tcW w:w="3420" w:type="dxa"/>
            <w:vAlign w:val="center"/>
          </w:tcPr>
          <w:p w:rsidR="00730F05" w:rsidRDefault="009161AB" w:rsidP="00ED78C8">
            <w:pPr>
              <w:jc w:val="center"/>
            </w:pPr>
            <w:r>
              <w:t xml:space="preserve">3 - </w:t>
            </w:r>
            <w:r w:rsidR="00EA6B83">
              <w:t>Apprentice</w:t>
            </w:r>
          </w:p>
        </w:tc>
        <w:tc>
          <w:tcPr>
            <w:tcW w:w="3330" w:type="dxa"/>
            <w:vAlign w:val="center"/>
          </w:tcPr>
          <w:p w:rsidR="00730F05" w:rsidRDefault="009161AB" w:rsidP="00ED78C8">
            <w:pPr>
              <w:jc w:val="center"/>
            </w:pPr>
            <w:r>
              <w:t xml:space="preserve">2 - </w:t>
            </w:r>
            <w:r w:rsidR="00EA6B83">
              <w:t>Novice</w:t>
            </w:r>
          </w:p>
        </w:tc>
        <w:tc>
          <w:tcPr>
            <w:tcW w:w="3420" w:type="dxa"/>
            <w:vAlign w:val="center"/>
          </w:tcPr>
          <w:p w:rsidR="00730F05" w:rsidRDefault="009161AB" w:rsidP="00ED78C8">
            <w:pPr>
              <w:jc w:val="center"/>
            </w:pPr>
            <w:r>
              <w:t xml:space="preserve">1 - </w:t>
            </w:r>
            <w:r w:rsidR="00EA6B83">
              <w:t>Benchmark</w:t>
            </w:r>
          </w:p>
        </w:tc>
      </w:tr>
      <w:tr w:rsidR="00730F05" w:rsidTr="00730F05">
        <w:trPr>
          <w:trHeight w:val="1871"/>
        </w:trPr>
        <w:tc>
          <w:tcPr>
            <w:tcW w:w="648" w:type="dxa"/>
            <w:vAlign w:val="center"/>
          </w:tcPr>
          <w:p w:rsidR="00730F05" w:rsidRDefault="00730F05" w:rsidP="00ED78C8">
            <w:pPr>
              <w:jc w:val="center"/>
            </w:pPr>
            <w:r>
              <w:t>1</w:t>
            </w:r>
          </w:p>
        </w:tc>
        <w:tc>
          <w:tcPr>
            <w:tcW w:w="3492" w:type="dxa"/>
          </w:tcPr>
          <w:p w:rsidR="00730F05" w:rsidRPr="006E53CD" w:rsidRDefault="00730F05" w:rsidP="00ED78C8">
            <w:pPr>
              <w:rPr>
                <w:b/>
                <w:sz w:val="24"/>
              </w:rPr>
            </w:pPr>
          </w:p>
          <w:p w:rsidR="00730F05" w:rsidRPr="005F146D" w:rsidRDefault="00730F05" w:rsidP="00ED78C8">
            <w:pPr>
              <w:ind w:left="162"/>
              <w:rPr>
                <w:sz w:val="24"/>
              </w:rPr>
            </w:pPr>
            <w:r w:rsidRPr="006E53CD">
              <w:rPr>
                <w:sz w:val="24"/>
              </w:rPr>
              <w:t xml:space="preserve">Students will </w:t>
            </w:r>
            <w:r w:rsidRPr="006E53CD">
              <w:rPr>
                <w:b/>
                <w:sz w:val="24"/>
              </w:rPr>
              <w:t>apply</w:t>
            </w:r>
            <w:r w:rsidRPr="006E53CD">
              <w:rPr>
                <w:sz w:val="24"/>
              </w:rPr>
              <w:t xml:space="preserve"> an understanding of the language and formal feature of an art form.</w:t>
            </w:r>
          </w:p>
        </w:tc>
        <w:tc>
          <w:tcPr>
            <w:tcW w:w="3510" w:type="dxa"/>
          </w:tcPr>
          <w:p w:rsidR="00730F05" w:rsidRPr="00812C48" w:rsidRDefault="004E1874" w:rsidP="00ED78C8">
            <w:pPr>
              <w:rPr>
                <w:i/>
              </w:rPr>
            </w:pPr>
            <w:r w:rsidRPr="00812C48">
              <w:rPr>
                <w:i/>
              </w:rPr>
              <w:t>Students demonstrate a</w:t>
            </w:r>
            <w:r w:rsidR="003A6999" w:rsidRPr="00812C48">
              <w:rPr>
                <w:i/>
              </w:rPr>
              <w:t xml:space="preserve">ssimilation of terms and concepts. </w:t>
            </w:r>
          </w:p>
        </w:tc>
        <w:tc>
          <w:tcPr>
            <w:tcW w:w="3420" w:type="dxa"/>
          </w:tcPr>
          <w:p w:rsidR="00730F05" w:rsidRPr="00812C48" w:rsidRDefault="004E1874" w:rsidP="004E1874">
            <w:pPr>
              <w:spacing w:after="60"/>
            </w:pPr>
            <w:r w:rsidRPr="00812C48">
              <w:t>Student</w:t>
            </w:r>
            <w:r w:rsidR="00812C48">
              <w:t xml:space="preserve"> </w:t>
            </w:r>
            <w:r w:rsidRPr="00812C48">
              <w:t>appl</w:t>
            </w:r>
            <w:r w:rsidR="00812C48">
              <w:t>ies</w:t>
            </w:r>
            <w:proofErr w:type="gramStart"/>
            <w:r w:rsidRPr="00812C48">
              <w:t>….c</w:t>
            </w:r>
            <w:r w:rsidR="003A6999" w:rsidRPr="00812C48">
              <w:t>onfidently</w:t>
            </w:r>
            <w:proofErr w:type="gramEnd"/>
            <w:r w:rsidR="003A6999" w:rsidRPr="00812C48">
              <w:t xml:space="preserve"> and accurately.</w:t>
            </w:r>
          </w:p>
        </w:tc>
        <w:tc>
          <w:tcPr>
            <w:tcW w:w="3330" w:type="dxa"/>
          </w:tcPr>
          <w:p w:rsidR="00730F05" w:rsidRPr="00812C48" w:rsidRDefault="004E1874" w:rsidP="00ED78C8">
            <w:pPr>
              <w:spacing w:after="60"/>
            </w:pPr>
            <w:r w:rsidRPr="00812C48">
              <w:t>Student appl</w:t>
            </w:r>
            <w:r w:rsidR="00812C48">
              <w:t>ies</w:t>
            </w:r>
            <w:proofErr w:type="gramStart"/>
            <w:r w:rsidRPr="00812C48">
              <w:t>….t</w:t>
            </w:r>
            <w:r w:rsidR="003A6999" w:rsidRPr="00812C48">
              <w:t>entative</w:t>
            </w:r>
            <w:proofErr w:type="gramEnd"/>
            <w:r w:rsidR="003A6999" w:rsidRPr="00812C48">
              <w:t xml:space="preserve"> but largely accurate use. </w:t>
            </w:r>
          </w:p>
        </w:tc>
        <w:tc>
          <w:tcPr>
            <w:tcW w:w="3420" w:type="dxa"/>
          </w:tcPr>
          <w:p w:rsidR="00730F05" w:rsidRPr="00812C48" w:rsidRDefault="004E1874" w:rsidP="00ED78C8">
            <w:pPr>
              <w:spacing w:after="60"/>
            </w:pPr>
            <w:r w:rsidRPr="00812C48">
              <w:t>Student appl</w:t>
            </w:r>
            <w:r w:rsidR="00812C48">
              <w:t>ies</w:t>
            </w:r>
            <w:proofErr w:type="gramStart"/>
            <w:r w:rsidRPr="00812C48">
              <w:t>….i</w:t>
            </w:r>
            <w:r w:rsidR="003A6999" w:rsidRPr="00812C48">
              <w:t>nconsistently</w:t>
            </w:r>
            <w:proofErr w:type="gramEnd"/>
            <w:r w:rsidR="003A6999" w:rsidRPr="00812C48">
              <w:t xml:space="preserve"> and inaccurately. </w:t>
            </w:r>
          </w:p>
        </w:tc>
      </w:tr>
      <w:tr w:rsidR="00730F05" w:rsidTr="00730F05">
        <w:trPr>
          <w:trHeight w:val="701"/>
        </w:trPr>
        <w:tc>
          <w:tcPr>
            <w:tcW w:w="17820" w:type="dxa"/>
            <w:gridSpan w:val="6"/>
            <w:vAlign w:val="center"/>
          </w:tcPr>
          <w:p w:rsidR="00730F05" w:rsidRPr="00730F05" w:rsidRDefault="00730F05" w:rsidP="00ED78C8">
            <w:r>
              <w:t xml:space="preserve">This involves gaining enough familiarity with terms and basic concepts of fine art in general or art as represented by a specific artistic form to pursue the next two outcomes; involving the study of the process and effects of art.  </w:t>
            </w:r>
          </w:p>
        </w:tc>
      </w:tr>
      <w:tr w:rsidR="00730F05" w:rsidTr="00730F05">
        <w:trPr>
          <w:trHeight w:val="1700"/>
        </w:trPr>
        <w:tc>
          <w:tcPr>
            <w:tcW w:w="648" w:type="dxa"/>
            <w:vAlign w:val="center"/>
          </w:tcPr>
          <w:p w:rsidR="00730F05" w:rsidRDefault="00730F05" w:rsidP="00ED78C8">
            <w:pPr>
              <w:jc w:val="center"/>
            </w:pPr>
            <w:r>
              <w:t>2</w:t>
            </w:r>
          </w:p>
        </w:tc>
        <w:tc>
          <w:tcPr>
            <w:tcW w:w="3492" w:type="dxa"/>
          </w:tcPr>
          <w:p w:rsidR="00730F05" w:rsidRPr="005F146D" w:rsidRDefault="00730F05" w:rsidP="00ED78C8">
            <w:pPr>
              <w:ind w:left="167"/>
              <w:rPr>
                <w:sz w:val="24"/>
              </w:rPr>
            </w:pPr>
            <w:r w:rsidRPr="006E53CD">
              <w:rPr>
                <w:sz w:val="24"/>
              </w:rPr>
              <w:t xml:space="preserve">Students will </w:t>
            </w:r>
            <w:r w:rsidRPr="006E53CD">
              <w:rPr>
                <w:b/>
                <w:sz w:val="24"/>
              </w:rPr>
              <w:t xml:space="preserve">engage </w:t>
            </w:r>
            <w:r w:rsidRPr="006E53CD">
              <w:rPr>
                <w:sz w:val="24"/>
              </w:rPr>
              <w:t>the creative process (through participation in and/or examination of artistic products).</w:t>
            </w:r>
          </w:p>
        </w:tc>
        <w:tc>
          <w:tcPr>
            <w:tcW w:w="3510" w:type="dxa"/>
          </w:tcPr>
          <w:p w:rsidR="00730F05" w:rsidRPr="00812C48" w:rsidRDefault="00647B95" w:rsidP="00730F05">
            <w:pPr>
              <w:spacing w:after="120"/>
            </w:pPr>
            <w:r w:rsidRPr="00812C48">
              <w:t>Student</w:t>
            </w:r>
            <w:r w:rsidR="00CB0CC9" w:rsidRPr="00812C48">
              <w:t xml:space="preserve"> engage</w:t>
            </w:r>
            <w:r w:rsidRPr="00812C48">
              <w:t>s</w:t>
            </w:r>
            <w:r w:rsidR="00CB0CC9" w:rsidRPr="00812C48">
              <w:t>….. e</w:t>
            </w:r>
            <w:r w:rsidR="003A6999" w:rsidRPr="00812C48">
              <w:t>nthusiastically and or skillfully.</w:t>
            </w:r>
          </w:p>
        </w:tc>
        <w:tc>
          <w:tcPr>
            <w:tcW w:w="3420" w:type="dxa"/>
          </w:tcPr>
          <w:p w:rsidR="00730F05" w:rsidRPr="00812C48" w:rsidRDefault="00647B95" w:rsidP="00ED78C8">
            <w:pPr>
              <w:rPr>
                <w:rFonts w:eastAsia="MS Mincho" w:cs="Times New Roman"/>
              </w:rPr>
            </w:pPr>
            <w:r w:rsidRPr="00812C48">
              <w:t>Student</w:t>
            </w:r>
            <w:r w:rsidR="00CB0CC9" w:rsidRPr="00812C48">
              <w:t xml:space="preserve"> engage</w:t>
            </w:r>
            <w:r w:rsidRPr="00812C48">
              <w:t>s</w:t>
            </w:r>
            <w:r w:rsidR="00CB0CC9" w:rsidRPr="00812C48">
              <w:t>….. wi</w:t>
            </w:r>
            <w:r w:rsidR="003A6999" w:rsidRPr="00812C48">
              <w:rPr>
                <w:rFonts w:eastAsia="MS Mincho" w:cs="Times New Roman"/>
              </w:rPr>
              <w:t>llingly and beyond prompts.</w:t>
            </w:r>
          </w:p>
        </w:tc>
        <w:tc>
          <w:tcPr>
            <w:tcW w:w="3330" w:type="dxa"/>
          </w:tcPr>
          <w:p w:rsidR="00730F05" w:rsidRPr="00812C48" w:rsidRDefault="00647B95" w:rsidP="00ED78C8">
            <w:pPr>
              <w:rPr>
                <w:rFonts w:eastAsia="MS Mincho" w:cs="Times New Roman"/>
              </w:rPr>
            </w:pPr>
            <w:r w:rsidRPr="00812C48">
              <w:t>Student</w:t>
            </w:r>
            <w:r w:rsidR="00CB0CC9" w:rsidRPr="00812C48">
              <w:t xml:space="preserve"> engage</w:t>
            </w:r>
            <w:r w:rsidRPr="00812C48">
              <w:t>s</w:t>
            </w:r>
            <w:r w:rsidR="00CB0CC9" w:rsidRPr="00812C48">
              <w:t>….. t</w:t>
            </w:r>
            <w:r w:rsidR="003A6999" w:rsidRPr="00812C48">
              <w:t>entatively with guidance and prompting.</w:t>
            </w:r>
          </w:p>
        </w:tc>
        <w:tc>
          <w:tcPr>
            <w:tcW w:w="3420" w:type="dxa"/>
          </w:tcPr>
          <w:p w:rsidR="00730F05" w:rsidRPr="00812C48" w:rsidRDefault="00647B95" w:rsidP="00ED78C8">
            <w:pPr>
              <w:rPr>
                <w:rFonts w:eastAsia="MS Mincho" w:cs="Times New Roman"/>
              </w:rPr>
            </w:pPr>
            <w:r w:rsidRPr="00812C48">
              <w:t>Student</w:t>
            </w:r>
            <w:r w:rsidR="00CB0CC9" w:rsidRPr="00812C48">
              <w:t xml:space="preserve"> engage</w:t>
            </w:r>
            <w:r w:rsidRPr="00812C48">
              <w:t>s</w:t>
            </w:r>
            <w:r w:rsidR="00CB0CC9" w:rsidRPr="00812C48">
              <w:t>….. r</w:t>
            </w:r>
            <w:r w:rsidR="003A6999" w:rsidRPr="00812C48">
              <w:rPr>
                <w:rFonts w:eastAsia="MS Mincho" w:cs="Times New Roman"/>
              </w:rPr>
              <w:t xml:space="preserve">eluctantly or with considerable reservation. </w:t>
            </w:r>
          </w:p>
        </w:tc>
      </w:tr>
      <w:tr w:rsidR="00730F05" w:rsidTr="00730F05">
        <w:trPr>
          <w:trHeight w:val="863"/>
        </w:trPr>
        <w:tc>
          <w:tcPr>
            <w:tcW w:w="17820" w:type="dxa"/>
            <w:gridSpan w:val="6"/>
            <w:vAlign w:val="center"/>
          </w:tcPr>
          <w:p w:rsidR="00730F05" w:rsidRPr="00730F05" w:rsidRDefault="00730F05" w:rsidP="00730F05">
            <w:pPr>
              <w:spacing w:after="120"/>
            </w:pPr>
            <w:r>
              <w:t>The process by which art is created can be effectively applied in other fields and to other endeavors.  The creative process is marked by lateral thinking, brainstorming, substitution, selection and ‘what if’ exercise</w:t>
            </w:r>
            <w:bookmarkStart w:id="0" w:name="_GoBack"/>
            <w:bookmarkEnd w:id="0"/>
            <w:r>
              <w:t xml:space="preserve">s.  All university students can benefit by cultivating familiarity and facility in the creative process.  </w:t>
            </w:r>
          </w:p>
        </w:tc>
      </w:tr>
      <w:tr w:rsidR="00730F05" w:rsidTr="00730F05">
        <w:trPr>
          <w:trHeight w:val="1880"/>
        </w:trPr>
        <w:tc>
          <w:tcPr>
            <w:tcW w:w="648" w:type="dxa"/>
            <w:vAlign w:val="center"/>
          </w:tcPr>
          <w:p w:rsidR="00730F05" w:rsidRDefault="00730F05" w:rsidP="00ED78C8">
            <w:pPr>
              <w:jc w:val="center"/>
            </w:pPr>
            <w:r>
              <w:t>3</w:t>
            </w:r>
          </w:p>
        </w:tc>
        <w:tc>
          <w:tcPr>
            <w:tcW w:w="3492" w:type="dxa"/>
          </w:tcPr>
          <w:p w:rsidR="00730F05" w:rsidRPr="005F146D" w:rsidRDefault="00730F05" w:rsidP="00ED78C8">
            <w:pPr>
              <w:rPr>
                <w:sz w:val="24"/>
              </w:rPr>
            </w:pPr>
            <w:r w:rsidRPr="006E53CD">
              <w:rPr>
                <w:sz w:val="24"/>
              </w:rPr>
              <w:t>Students will synthesize artistic products and aesthetic experiences (for the purpose of supporting informed judgement).</w:t>
            </w:r>
          </w:p>
        </w:tc>
        <w:tc>
          <w:tcPr>
            <w:tcW w:w="3510" w:type="dxa"/>
          </w:tcPr>
          <w:p w:rsidR="00730F05" w:rsidRPr="00812C48" w:rsidRDefault="00730F05" w:rsidP="00ED78C8">
            <w:r w:rsidRPr="00812C48">
              <w:t xml:space="preserve"> </w:t>
            </w:r>
            <w:r w:rsidR="00647B95" w:rsidRPr="00812C48">
              <w:t>Student a</w:t>
            </w:r>
            <w:r w:rsidR="004D3D38" w:rsidRPr="00812C48">
              <w:t>rticulates judgements considering the interplay between aesthetic and formal qualities.</w:t>
            </w:r>
          </w:p>
        </w:tc>
        <w:tc>
          <w:tcPr>
            <w:tcW w:w="3420" w:type="dxa"/>
          </w:tcPr>
          <w:p w:rsidR="00730F05" w:rsidRPr="00812C48" w:rsidRDefault="00647B95" w:rsidP="006B420F">
            <w:pPr>
              <w:rPr>
                <w:rFonts w:eastAsia="MS Mincho" w:cs="Times New Roman"/>
              </w:rPr>
            </w:pPr>
            <w:r w:rsidRPr="00812C48">
              <w:rPr>
                <w:rFonts w:eastAsia="MS Mincho" w:cs="Times New Roman"/>
              </w:rPr>
              <w:t>Student is a</w:t>
            </w:r>
            <w:r w:rsidR="004D3D38" w:rsidRPr="00812C48">
              <w:rPr>
                <w:rFonts w:eastAsia="MS Mincho" w:cs="Times New Roman"/>
              </w:rPr>
              <w:t xml:space="preserve">ble to articulate judgements related to </w:t>
            </w:r>
            <w:r w:rsidR="005F228F" w:rsidRPr="00812C48">
              <w:rPr>
                <w:rFonts w:eastAsia="MS Mincho" w:cs="Times New Roman"/>
              </w:rPr>
              <w:t>formal features or aesthetic effects</w:t>
            </w:r>
            <w:r w:rsidR="004D3D38" w:rsidRPr="00812C48">
              <w:rPr>
                <w:rFonts w:eastAsia="MS Mincho" w:cs="Times New Roman"/>
              </w:rPr>
              <w:t xml:space="preserve"> but without conveying and understanding of interplay. </w:t>
            </w:r>
          </w:p>
        </w:tc>
        <w:tc>
          <w:tcPr>
            <w:tcW w:w="3330" w:type="dxa"/>
          </w:tcPr>
          <w:p w:rsidR="00730F05" w:rsidRPr="00812C48" w:rsidRDefault="00647B95" w:rsidP="005F228F">
            <w:pPr>
              <w:rPr>
                <w:rFonts w:eastAsia="MS Mincho" w:cs="Times New Roman"/>
              </w:rPr>
            </w:pPr>
            <w:r w:rsidRPr="00812C48">
              <w:rPr>
                <w:rFonts w:eastAsia="MS Mincho" w:cs="Times New Roman"/>
              </w:rPr>
              <w:t>Student is able</w:t>
            </w:r>
            <w:r w:rsidR="004D3D38" w:rsidRPr="00812C48">
              <w:rPr>
                <w:rFonts w:eastAsia="MS Mincho" w:cs="Times New Roman"/>
              </w:rPr>
              <w:t xml:space="preserve"> to support through reference to </w:t>
            </w:r>
            <w:r w:rsidR="005F228F" w:rsidRPr="00812C48">
              <w:rPr>
                <w:rFonts w:eastAsia="MS Mincho" w:cs="Times New Roman"/>
              </w:rPr>
              <w:t>formal features</w:t>
            </w:r>
            <w:r w:rsidR="004D3D38" w:rsidRPr="00812C48">
              <w:rPr>
                <w:rFonts w:eastAsia="MS Mincho" w:cs="Times New Roman"/>
              </w:rPr>
              <w:t xml:space="preserve"> or </w:t>
            </w:r>
            <w:r w:rsidR="005F228F" w:rsidRPr="00812C48">
              <w:rPr>
                <w:rFonts w:eastAsia="MS Mincho" w:cs="Times New Roman"/>
              </w:rPr>
              <w:t>aesthetic effects</w:t>
            </w:r>
            <w:r w:rsidR="004D3D38" w:rsidRPr="00812C48">
              <w:rPr>
                <w:rFonts w:eastAsia="MS Mincho" w:cs="Times New Roman"/>
              </w:rPr>
              <w:t xml:space="preserve"> but not both.</w:t>
            </w:r>
          </w:p>
        </w:tc>
        <w:tc>
          <w:tcPr>
            <w:tcW w:w="3420" w:type="dxa"/>
          </w:tcPr>
          <w:p w:rsidR="00730F05" w:rsidRPr="00812C48" w:rsidRDefault="00647B95" w:rsidP="00ED78C8">
            <w:pPr>
              <w:rPr>
                <w:rFonts w:eastAsia="MS Mincho" w:cs="Times New Roman"/>
              </w:rPr>
            </w:pPr>
            <w:r w:rsidRPr="00812C48">
              <w:rPr>
                <w:rFonts w:eastAsia="MS Mincho" w:cs="Times New Roman"/>
              </w:rPr>
              <w:t>Student is n</w:t>
            </w:r>
            <w:r w:rsidR="004D3D38" w:rsidRPr="00812C48">
              <w:rPr>
                <w:rFonts w:eastAsia="MS Mincho" w:cs="Times New Roman"/>
              </w:rPr>
              <w:t>ot able to support artistic judgements.</w:t>
            </w:r>
          </w:p>
        </w:tc>
      </w:tr>
      <w:tr w:rsidR="00730F05" w:rsidTr="00730F05">
        <w:trPr>
          <w:trHeight w:val="1340"/>
        </w:trPr>
        <w:tc>
          <w:tcPr>
            <w:tcW w:w="17820" w:type="dxa"/>
            <w:gridSpan w:val="6"/>
            <w:vAlign w:val="center"/>
          </w:tcPr>
          <w:p w:rsidR="00730F05" w:rsidRDefault="00730F05" w:rsidP="00730F05">
            <w:r>
              <w:t xml:space="preserve">Art, by its nature, is highly integrative and synthetic.  The creative process, in artistic endeavors, cannot be divorced from the understanding and appreciation of aesthetic effects.  The formal aspects of art are tied by their application to the creative process and by their appreciation to aesthetic sensibility. </w:t>
            </w:r>
          </w:p>
          <w:p w:rsidR="00730F05" w:rsidRDefault="00730F05" w:rsidP="00730F05"/>
          <w:p w:rsidR="00730F05" w:rsidRPr="00C33DDC" w:rsidRDefault="00730F05" w:rsidP="00730F05">
            <w:pPr>
              <w:rPr>
                <w:rFonts w:eastAsia="MS Mincho" w:cs="Times New Roman"/>
                <w:color w:val="2F5496" w:themeColor="accent5" w:themeShade="BF"/>
              </w:rPr>
            </w:pPr>
            <w:r>
              <w:t xml:space="preserve">The valuation of art is strongly connected to aesthetic effects.  Adequate examination of the cultural role of the arts must also include deliberate consideration of aesthetic experience.  </w:t>
            </w:r>
          </w:p>
        </w:tc>
      </w:tr>
    </w:tbl>
    <w:p w:rsidR="00F62468" w:rsidRDefault="00F62468"/>
    <w:sectPr w:rsidR="00F62468" w:rsidSect="006B420F">
      <w:headerReference w:type="default" r:id="rId6"/>
      <w:footerReference w:type="default" r:id="rId7"/>
      <w:pgSz w:w="20160" w:h="12240" w:orient="landscape" w:code="5"/>
      <w:pgMar w:top="1440" w:right="1440" w:bottom="1440" w:left="1440"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FCB" w:rsidRDefault="00FD7FCB" w:rsidP="006B420F">
      <w:pPr>
        <w:spacing w:after="0" w:line="240" w:lineRule="auto"/>
      </w:pPr>
      <w:r>
        <w:separator/>
      </w:r>
    </w:p>
  </w:endnote>
  <w:endnote w:type="continuationSeparator" w:id="0">
    <w:p w:rsidR="00FD7FCB" w:rsidRDefault="00FD7FCB" w:rsidP="006B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C48" w:rsidRDefault="00812C48">
    <w:pPr>
      <w:pStyle w:val="Footer"/>
    </w:pPr>
    <w:r>
      <w:t>Viterbo University Core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FCB" w:rsidRDefault="00FD7FCB" w:rsidP="006B420F">
      <w:pPr>
        <w:spacing w:after="0" w:line="240" w:lineRule="auto"/>
      </w:pPr>
      <w:r>
        <w:separator/>
      </w:r>
    </w:p>
  </w:footnote>
  <w:footnote w:type="continuationSeparator" w:id="0">
    <w:p w:rsidR="00FD7FCB" w:rsidRDefault="00FD7FCB" w:rsidP="006B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0F" w:rsidRPr="006B420F" w:rsidRDefault="006B420F">
    <w:pPr>
      <w:pStyle w:val="Header"/>
      <w:rPr>
        <w:sz w:val="24"/>
      </w:rPr>
    </w:pPr>
    <w:r w:rsidRPr="006B420F">
      <w:rPr>
        <w:sz w:val="24"/>
      </w:rPr>
      <w:t xml:space="preserve">Artistic Engagement (Assessment Template </w:t>
    </w:r>
    <w:r w:rsidR="006E53CD">
      <w:rPr>
        <w:sz w:val="24"/>
      </w:rPr>
      <w:t>Active 05</w:t>
    </w:r>
    <w:r w:rsidRPr="006B420F">
      <w:rPr>
        <w:sz w:val="24"/>
      </w:rPr>
      <w:t>_05_1</w:t>
    </w:r>
    <w:r w:rsidR="006E53CD">
      <w:rPr>
        <w:sz w:val="24"/>
      </w:rPr>
      <w:t>9</w:t>
    </w:r>
    <w:r w:rsidRPr="006B420F">
      <w:rPr>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6D"/>
    <w:rsid w:val="00124BA5"/>
    <w:rsid w:val="00133879"/>
    <w:rsid w:val="003A6999"/>
    <w:rsid w:val="00487702"/>
    <w:rsid w:val="004D3D38"/>
    <w:rsid w:val="004E1874"/>
    <w:rsid w:val="005F146D"/>
    <w:rsid w:val="005F228F"/>
    <w:rsid w:val="00647B95"/>
    <w:rsid w:val="006B420F"/>
    <w:rsid w:val="006E53CD"/>
    <w:rsid w:val="00730F05"/>
    <w:rsid w:val="00812C48"/>
    <w:rsid w:val="008B398B"/>
    <w:rsid w:val="009161AB"/>
    <w:rsid w:val="00934FA6"/>
    <w:rsid w:val="00AB266A"/>
    <w:rsid w:val="00CB0CC9"/>
    <w:rsid w:val="00CB667E"/>
    <w:rsid w:val="00D00970"/>
    <w:rsid w:val="00D305E6"/>
    <w:rsid w:val="00EA6B83"/>
    <w:rsid w:val="00F62468"/>
    <w:rsid w:val="00FD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57534"/>
  <w15:chartTrackingRefBased/>
  <w15:docId w15:val="{FCFC58D1-DD3F-46EF-8C2C-A649A1F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0F"/>
  </w:style>
  <w:style w:type="paragraph" w:styleId="Footer">
    <w:name w:val="footer"/>
    <w:basedOn w:val="Normal"/>
    <w:link w:val="FooterChar"/>
    <w:uiPriority w:val="99"/>
    <w:unhideWhenUsed/>
    <w:rsid w:val="006B4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1956</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 Ludwig</dc:creator>
  <cp:keywords/>
  <dc:description/>
  <cp:lastModifiedBy>Frank P Ludwig</cp:lastModifiedBy>
  <cp:revision>2</cp:revision>
  <dcterms:created xsi:type="dcterms:W3CDTF">2020-05-28T16:37:00Z</dcterms:created>
  <dcterms:modified xsi:type="dcterms:W3CDTF">2020-05-28T16:37:00Z</dcterms:modified>
</cp:coreProperties>
</file>